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50A" w:rsidRDefault="000C37A1" w:rsidP="000C37A1">
      <w:pPr>
        <w:pStyle w:val="IQB-Aufgabentitel"/>
        <w:spacing w:after="120"/>
        <w:rPr>
          <w:rFonts w:cs="Arial"/>
        </w:rPr>
      </w:pPr>
      <w:r w:rsidRPr="000C37A1">
        <w:rPr>
          <w:rFonts w:cs="Arial"/>
        </w:rPr>
        <w:t xml:space="preserve">Didaktische </w:t>
      </w:r>
      <w:r w:rsidR="0048123D">
        <w:rPr>
          <w:rFonts w:cs="Arial"/>
        </w:rPr>
        <w:t>Kommentierung</w:t>
      </w:r>
      <w:bookmarkStart w:id="0" w:name="_GoBack"/>
      <w:bookmarkEnd w:id="0"/>
      <w:r w:rsidRPr="000C37A1">
        <w:rPr>
          <w:rFonts w:cs="Arial"/>
        </w:rPr>
        <w:t>: Aufgabe Samen Blumentopf</w:t>
      </w:r>
    </w:p>
    <w:p w:rsidR="000C37A1" w:rsidRPr="000C37A1" w:rsidRDefault="000C37A1" w:rsidP="000C37A1">
      <w:pPr>
        <w:pStyle w:val="IQB-Aufgabentitel"/>
        <w:spacing w:after="120"/>
        <w:rPr>
          <w:rFonts w:cs="Arial"/>
          <w:sz w:val="22"/>
          <w:szCs w:val="22"/>
        </w:rPr>
      </w:pPr>
    </w:p>
    <w:p w:rsidR="000C37A1" w:rsidRPr="000C37A1" w:rsidRDefault="000C37A1" w:rsidP="000C37A1">
      <w:pPr>
        <w:pStyle w:val="IQB-Aufgabentitel"/>
        <w:spacing w:after="120"/>
        <w:rPr>
          <w:rFonts w:cs="Arial"/>
          <w:b/>
          <w:sz w:val="22"/>
          <w:szCs w:val="22"/>
        </w:rPr>
      </w:pPr>
      <w:r w:rsidRPr="000C37A1">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A9050A" w:rsidRPr="000C37A1">
        <w:tc>
          <w:tcPr>
            <w:tcW w:w="2040" w:type="dxa"/>
            <w:vAlign w:val="center"/>
          </w:tcPr>
          <w:p w:rsidR="00A9050A" w:rsidRPr="000C37A1" w:rsidRDefault="000C37A1" w:rsidP="000C37A1">
            <w:pPr>
              <w:pStyle w:val="IQB-Merkmal"/>
              <w:spacing w:before="0" w:after="120"/>
              <w:rPr>
                <w:rFonts w:cs="Arial"/>
                <w:sz w:val="20"/>
                <w:szCs w:val="20"/>
              </w:rPr>
            </w:pPr>
            <w:r w:rsidRPr="000C37A1">
              <w:rPr>
                <w:rFonts w:cs="Arial"/>
                <w:sz w:val="20"/>
                <w:szCs w:val="20"/>
              </w:rPr>
              <w:t>Leitidee</w:t>
            </w:r>
          </w:p>
        </w:tc>
        <w:tc>
          <w:tcPr>
            <w:tcW w:w="7086" w:type="dxa"/>
          </w:tcPr>
          <w:p w:rsidR="00A9050A" w:rsidRPr="000C37A1" w:rsidRDefault="000C37A1" w:rsidP="000C37A1">
            <w:pPr>
              <w:pStyle w:val="IQB-Merkmalswert"/>
              <w:spacing w:before="0" w:after="120"/>
              <w:rPr>
                <w:rFonts w:cs="Arial"/>
                <w:sz w:val="20"/>
                <w:szCs w:val="20"/>
              </w:rPr>
            </w:pPr>
            <w:r w:rsidRPr="000C37A1">
              <w:rPr>
                <w:rFonts w:cs="Arial"/>
                <w:sz w:val="20"/>
                <w:szCs w:val="20"/>
              </w:rPr>
              <w:t>Zahlen und Operationen</w:t>
            </w:r>
          </w:p>
        </w:tc>
      </w:tr>
      <w:tr w:rsidR="00A9050A" w:rsidRPr="000C37A1">
        <w:tc>
          <w:tcPr>
            <w:tcW w:w="2040" w:type="dxa"/>
            <w:vAlign w:val="center"/>
          </w:tcPr>
          <w:p w:rsidR="00A9050A" w:rsidRPr="000C37A1" w:rsidRDefault="000C37A1" w:rsidP="000C37A1">
            <w:pPr>
              <w:pStyle w:val="IQB-Merkmal"/>
              <w:spacing w:before="0" w:after="120"/>
              <w:rPr>
                <w:rFonts w:cs="Arial"/>
                <w:sz w:val="20"/>
                <w:szCs w:val="20"/>
              </w:rPr>
            </w:pPr>
            <w:r w:rsidRPr="000C37A1">
              <w:rPr>
                <w:rFonts w:cs="Arial"/>
                <w:sz w:val="20"/>
                <w:szCs w:val="20"/>
              </w:rPr>
              <w:t xml:space="preserve">Kompetenzbereich </w:t>
            </w:r>
            <w:proofErr w:type="spellStart"/>
            <w:r w:rsidRPr="000C37A1">
              <w:rPr>
                <w:rFonts w:cs="Arial"/>
                <w:sz w:val="20"/>
                <w:szCs w:val="20"/>
              </w:rPr>
              <w:t>MaP</w:t>
            </w:r>
            <w:proofErr w:type="spellEnd"/>
            <w:r w:rsidRPr="000C37A1">
              <w:rPr>
                <w:rFonts w:cs="Arial"/>
                <w:sz w:val="20"/>
                <w:szCs w:val="20"/>
              </w:rPr>
              <w:t xml:space="preserve"> sekundär (Leitidee)</w:t>
            </w:r>
          </w:p>
        </w:tc>
        <w:tc>
          <w:tcPr>
            <w:tcW w:w="7086" w:type="dxa"/>
          </w:tcPr>
          <w:p w:rsidR="00A9050A" w:rsidRPr="000C37A1" w:rsidRDefault="000C37A1" w:rsidP="000C37A1">
            <w:pPr>
              <w:pStyle w:val="IQB-Merkmalswert"/>
              <w:spacing w:before="0" w:after="120"/>
              <w:rPr>
                <w:rFonts w:cs="Arial"/>
                <w:sz w:val="20"/>
                <w:szCs w:val="20"/>
              </w:rPr>
            </w:pPr>
            <w:r w:rsidRPr="000C37A1">
              <w:rPr>
                <w:rFonts w:cs="Arial"/>
                <w:sz w:val="20"/>
                <w:szCs w:val="20"/>
              </w:rPr>
              <w:t>Daten, Häufigkeit und Wahrscheinlichkeit</w:t>
            </w:r>
          </w:p>
        </w:tc>
      </w:tr>
      <w:tr w:rsidR="00A9050A" w:rsidRPr="000C37A1">
        <w:tc>
          <w:tcPr>
            <w:tcW w:w="2040" w:type="dxa"/>
            <w:vAlign w:val="center"/>
          </w:tcPr>
          <w:p w:rsidR="00A9050A" w:rsidRPr="000C37A1" w:rsidRDefault="000C37A1" w:rsidP="000C37A1">
            <w:pPr>
              <w:pStyle w:val="IQB-Merkmal"/>
              <w:spacing w:before="0" w:after="120"/>
              <w:rPr>
                <w:rFonts w:cs="Arial"/>
                <w:sz w:val="20"/>
                <w:szCs w:val="20"/>
              </w:rPr>
            </w:pPr>
            <w:r w:rsidRPr="000C37A1">
              <w:rPr>
                <w:rFonts w:cs="Arial"/>
                <w:sz w:val="20"/>
                <w:szCs w:val="20"/>
              </w:rPr>
              <w:t>Bildungsstandard/s - Allgemeine Kompetenzen</w:t>
            </w:r>
          </w:p>
        </w:tc>
        <w:tc>
          <w:tcPr>
            <w:tcW w:w="7086" w:type="dxa"/>
          </w:tcPr>
          <w:p w:rsidR="00A9050A" w:rsidRPr="000C37A1" w:rsidRDefault="000C37A1" w:rsidP="000C37A1">
            <w:pPr>
              <w:pStyle w:val="IQB-Merkmalswert"/>
              <w:spacing w:before="0" w:after="120"/>
              <w:rPr>
                <w:rFonts w:cs="Arial"/>
                <w:sz w:val="20"/>
                <w:szCs w:val="20"/>
              </w:rPr>
            </w:pPr>
            <w:r w:rsidRPr="000C37A1">
              <w:rPr>
                <w:rFonts w:cs="Arial"/>
                <w:sz w:val="20"/>
                <w:szCs w:val="20"/>
              </w:rPr>
              <w:t>Sachprobleme in die Sprache der Mathematik übersetzen, innermathematisch lösen und diese Lösungen auf die Ausgangssituation beziehen</w:t>
            </w:r>
          </w:p>
        </w:tc>
      </w:tr>
      <w:tr w:rsidR="00A9050A" w:rsidRPr="000C37A1">
        <w:tc>
          <w:tcPr>
            <w:tcW w:w="2040" w:type="dxa"/>
            <w:vAlign w:val="center"/>
          </w:tcPr>
          <w:p w:rsidR="00A9050A" w:rsidRPr="000C37A1" w:rsidRDefault="000C37A1" w:rsidP="000C37A1">
            <w:pPr>
              <w:pStyle w:val="IQB-Merkmal"/>
              <w:spacing w:before="0" w:after="120"/>
              <w:rPr>
                <w:rFonts w:cs="Arial"/>
                <w:sz w:val="20"/>
                <w:szCs w:val="20"/>
              </w:rPr>
            </w:pPr>
            <w:r w:rsidRPr="000C37A1">
              <w:rPr>
                <w:rFonts w:cs="Arial"/>
                <w:sz w:val="20"/>
                <w:szCs w:val="20"/>
              </w:rPr>
              <w:t>Bildungsstandard/s - Inhaltsbezogene Kompetenzen (Leitideen)</w:t>
            </w:r>
          </w:p>
        </w:tc>
        <w:tc>
          <w:tcPr>
            <w:tcW w:w="7086" w:type="dxa"/>
          </w:tcPr>
          <w:p w:rsidR="00A9050A" w:rsidRPr="000C37A1" w:rsidRDefault="000C37A1" w:rsidP="000C37A1">
            <w:pPr>
              <w:pStyle w:val="IQB-Merkmalswert"/>
              <w:spacing w:before="0" w:after="120"/>
              <w:rPr>
                <w:rFonts w:cs="Arial"/>
                <w:sz w:val="20"/>
                <w:szCs w:val="20"/>
              </w:rPr>
            </w:pPr>
            <w:r w:rsidRPr="000C37A1">
              <w:rPr>
                <w:rFonts w:cs="Arial"/>
                <w:sz w:val="20"/>
                <w:szCs w:val="20"/>
              </w:rPr>
              <w:t>die vier Grundrechenarten und ihre Zusammenhänge verstehen; Sachaufgaben lösen und dabei die Beziehungen zwischen der Sache und den einzelnen Lösungsschritten beschreiben; aus Tabellen, Schaubildern und Diagrammen Informationen entnehmen</w:t>
            </w:r>
          </w:p>
        </w:tc>
      </w:tr>
      <w:tr w:rsidR="00A9050A" w:rsidRPr="000C37A1">
        <w:tc>
          <w:tcPr>
            <w:tcW w:w="2040" w:type="dxa"/>
            <w:vAlign w:val="center"/>
          </w:tcPr>
          <w:p w:rsidR="00A9050A" w:rsidRPr="000C37A1" w:rsidRDefault="000C37A1" w:rsidP="000C37A1">
            <w:pPr>
              <w:pStyle w:val="IQB-Merkmal"/>
              <w:spacing w:before="0" w:after="120"/>
              <w:rPr>
                <w:rFonts w:cs="Arial"/>
                <w:sz w:val="20"/>
                <w:szCs w:val="20"/>
              </w:rPr>
            </w:pPr>
            <w:r w:rsidRPr="000C37A1">
              <w:rPr>
                <w:rFonts w:cs="Arial"/>
                <w:sz w:val="20"/>
                <w:szCs w:val="20"/>
              </w:rPr>
              <w:t>Kompetenzstufe</w:t>
            </w:r>
          </w:p>
        </w:tc>
        <w:tc>
          <w:tcPr>
            <w:tcW w:w="7086" w:type="dxa"/>
          </w:tcPr>
          <w:p w:rsidR="00A9050A" w:rsidRPr="000C37A1" w:rsidRDefault="000C37A1" w:rsidP="000C37A1">
            <w:pPr>
              <w:pStyle w:val="IQB-Merkmalswert"/>
              <w:spacing w:before="0" w:after="120"/>
              <w:rPr>
                <w:rFonts w:cs="Arial"/>
                <w:sz w:val="20"/>
                <w:szCs w:val="20"/>
              </w:rPr>
            </w:pPr>
            <w:r w:rsidRPr="000C37A1">
              <w:rPr>
                <w:rFonts w:cs="Arial"/>
                <w:sz w:val="20"/>
                <w:szCs w:val="20"/>
              </w:rPr>
              <w:t>II</w:t>
            </w:r>
          </w:p>
        </w:tc>
      </w:tr>
      <w:tr w:rsidR="00A9050A" w:rsidRPr="000C37A1">
        <w:tc>
          <w:tcPr>
            <w:tcW w:w="2040" w:type="dxa"/>
            <w:vAlign w:val="center"/>
          </w:tcPr>
          <w:p w:rsidR="00A9050A" w:rsidRPr="000C37A1" w:rsidRDefault="000C37A1" w:rsidP="000C37A1">
            <w:pPr>
              <w:pStyle w:val="IQB-Merkmal"/>
              <w:spacing w:before="0" w:after="120"/>
              <w:rPr>
                <w:rFonts w:cs="Arial"/>
                <w:sz w:val="20"/>
                <w:szCs w:val="20"/>
              </w:rPr>
            </w:pPr>
            <w:r w:rsidRPr="000C37A1">
              <w:rPr>
                <w:rFonts w:cs="Arial"/>
                <w:sz w:val="20"/>
                <w:szCs w:val="20"/>
              </w:rPr>
              <w:t>Anforderungsbereich</w:t>
            </w:r>
          </w:p>
        </w:tc>
        <w:tc>
          <w:tcPr>
            <w:tcW w:w="7086" w:type="dxa"/>
          </w:tcPr>
          <w:p w:rsidR="00A9050A" w:rsidRPr="000C37A1" w:rsidRDefault="000C37A1" w:rsidP="000C37A1">
            <w:pPr>
              <w:pStyle w:val="IQB-Merkmalswert"/>
              <w:spacing w:before="0" w:after="120"/>
              <w:rPr>
                <w:rFonts w:cs="Arial"/>
                <w:sz w:val="20"/>
                <w:szCs w:val="20"/>
              </w:rPr>
            </w:pPr>
            <w:r w:rsidRPr="000C37A1">
              <w:rPr>
                <w:rFonts w:cs="Arial"/>
                <w:sz w:val="20"/>
                <w:szCs w:val="20"/>
              </w:rPr>
              <w:t>Zusammenhänge herstellen (II)</w:t>
            </w:r>
          </w:p>
        </w:tc>
      </w:tr>
    </w:tbl>
    <w:p w:rsidR="000C37A1" w:rsidRDefault="000C37A1" w:rsidP="000C37A1">
      <w:pPr>
        <w:spacing w:after="120"/>
        <w:rPr>
          <w:rFonts w:ascii="Arial" w:hAnsi="Arial" w:cs="Arial"/>
          <w:sz w:val="22"/>
          <w:szCs w:val="22"/>
        </w:rPr>
      </w:pPr>
    </w:p>
    <w:p w:rsidR="000C37A1" w:rsidRPr="000C37A1" w:rsidRDefault="000C37A1" w:rsidP="000C37A1">
      <w:pPr>
        <w:spacing w:after="120"/>
        <w:rPr>
          <w:rFonts w:ascii="Arial" w:hAnsi="Arial" w:cs="Arial"/>
          <w:b/>
          <w:sz w:val="22"/>
          <w:szCs w:val="22"/>
        </w:rPr>
      </w:pPr>
      <w:r w:rsidRPr="000C37A1">
        <w:rPr>
          <w:rFonts w:ascii="Arial" w:hAnsi="Arial" w:cs="Arial"/>
          <w:b/>
          <w:sz w:val="22"/>
          <w:szCs w:val="22"/>
        </w:rPr>
        <w:t>Didaktischer Kommentar</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 xml:space="preserve">Diese Aufgabe ist nur mit Hilfe der Abbildung lösbar. Die Kinder müssen die Aufgabenstellung ist in ihrer Gesamtheit erfassen und in die Sprache der Mathematik übersetzen. Wichtig ist das Verständnis des räumlich-simultanen Aspekts der Multiplikation. Dabei müssen die Kinder die vorgegebenen Rechnungen in Beziehung zur Abbildung setzen. Die Entscheidung für die richtige Rechnung in Verknüpfung mit der Abbildung ist zu treffen. </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 xml:space="preserve">Die vorgegebenen Terme sind zu überprüfen, indem sie auf die Ausgangssituation bezogen werden. Oder der eigene Lösungsweg wird anhand der vorgegebenen Terme überprüft. Dabei müssen eventuell eigene Lösungswege z. B. 5 ∙ 12 übertragen werden. </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Diese Aufgabe kann im Zusammenhang mit den Aufgaben Reißzwecken und Aquarium gesehen werden.</w:t>
      </w:r>
    </w:p>
    <w:p w:rsidR="000C37A1" w:rsidRPr="000C37A1" w:rsidRDefault="000C37A1" w:rsidP="000C37A1">
      <w:pPr>
        <w:spacing w:after="120"/>
        <w:rPr>
          <w:rFonts w:ascii="Arial" w:hAnsi="Arial" w:cs="Arial"/>
          <w:sz w:val="22"/>
          <w:szCs w:val="22"/>
        </w:rPr>
      </w:pPr>
    </w:p>
    <w:p w:rsidR="000C37A1" w:rsidRPr="000C37A1" w:rsidRDefault="000C37A1" w:rsidP="000C37A1">
      <w:pPr>
        <w:spacing w:after="120"/>
        <w:rPr>
          <w:rFonts w:ascii="Arial" w:hAnsi="Arial" w:cs="Arial"/>
          <w:b/>
          <w:sz w:val="22"/>
          <w:szCs w:val="22"/>
        </w:rPr>
      </w:pPr>
      <w:r w:rsidRPr="000C37A1">
        <w:rPr>
          <w:rFonts w:ascii="Arial" w:hAnsi="Arial" w:cs="Arial"/>
          <w:b/>
          <w:sz w:val="22"/>
          <w:szCs w:val="22"/>
        </w:rPr>
        <w:t>Anregungen für den Unterricht</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Sind Sachtexten und anderen Darstellungen die relevanten Informationen zu entnehmen (Modellieren), können die Schülerinnen und Schüler besonders bei Aufgaben ohne Abbildungen zunächst angeregt werden, die Sachinformationen durch Unterstreichen zu finden und anschließend mit eigenen Worten wiederzugeben. Erst dann lässt sich erkennen, ob die Aufgabenstellung erfasst wurde.</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 xml:space="preserve">Um die Kompetenz Modellieren zu fördern, erstellen die Schülerinnen und Schüler mit Hilfe von konkreten Arbeitsaufträgen ähnliche Aufgaben. </w:t>
      </w:r>
    </w:p>
    <w:p w:rsidR="000C37A1" w:rsidRPr="000C37A1" w:rsidRDefault="000C37A1" w:rsidP="000C37A1">
      <w:pPr>
        <w:spacing w:after="120"/>
        <w:rPr>
          <w:rFonts w:ascii="Arial" w:hAnsi="Arial" w:cs="Arial"/>
          <w:sz w:val="22"/>
          <w:szCs w:val="22"/>
        </w:rPr>
      </w:pPr>
      <w:r w:rsidRPr="000C37A1">
        <w:rPr>
          <w:rFonts w:ascii="Arial" w:hAnsi="Arial" w:cs="Arial"/>
          <w:i/>
          <w:sz w:val="22"/>
          <w:szCs w:val="22"/>
        </w:rPr>
        <w:t>Beispiel:</w:t>
      </w:r>
      <w:r w:rsidRPr="000C37A1">
        <w:rPr>
          <w:rFonts w:ascii="Arial" w:hAnsi="Arial" w:cs="Arial"/>
          <w:sz w:val="22"/>
          <w:szCs w:val="22"/>
        </w:rPr>
        <w:t xml:space="preserve"> Entwickle eine gleiche Aufgabe.</w:t>
      </w:r>
    </w:p>
    <w:p w:rsidR="000C37A1" w:rsidRDefault="000C37A1" w:rsidP="000C37A1">
      <w:pPr>
        <w:pStyle w:val="Listenabsatz"/>
        <w:numPr>
          <w:ilvl w:val="0"/>
          <w:numId w:val="3"/>
        </w:numPr>
        <w:spacing w:after="120"/>
        <w:rPr>
          <w:rFonts w:ascii="Arial" w:hAnsi="Arial" w:cs="Arial"/>
          <w:sz w:val="22"/>
          <w:szCs w:val="22"/>
        </w:rPr>
      </w:pPr>
      <w:r w:rsidRPr="000C37A1">
        <w:rPr>
          <w:rFonts w:ascii="Arial" w:hAnsi="Arial" w:cs="Arial"/>
          <w:sz w:val="22"/>
          <w:szCs w:val="22"/>
        </w:rPr>
        <w:t>Ändere die Anzahl der Samen in den Blumentöpfen.</w:t>
      </w:r>
    </w:p>
    <w:p w:rsidR="000C37A1" w:rsidRPr="000C37A1" w:rsidRDefault="000C37A1" w:rsidP="000C37A1">
      <w:pPr>
        <w:pStyle w:val="Listenabsatz"/>
        <w:numPr>
          <w:ilvl w:val="0"/>
          <w:numId w:val="3"/>
        </w:numPr>
        <w:spacing w:after="120"/>
        <w:rPr>
          <w:rFonts w:ascii="Arial" w:hAnsi="Arial" w:cs="Arial"/>
          <w:sz w:val="22"/>
          <w:szCs w:val="22"/>
        </w:rPr>
      </w:pPr>
      <w:r w:rsidRPr="000C37A1">
        <w:rPr>
          <w:rFonts w:ascii="Arial" w:hAnsi="Arial" w:cs="Arial"/>
          <w:sz w:val="22"/>
          <w:szCs w:val="22"/>
        </w:rPr>
        <w:t>Ändere die Anzahl der Blumentöpfe.</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Anschließend kann nach einem anderen Sachverhalt gesucht werden.</w:t>
      </w:r>
    </w:p>
    <w:p w:rsidR="000C37A1" w:rsidRPr="000C37A1" w:rsidRDefault="000C37A1" w:rsidP="000C37A1">
      <w:pPr>
        <w:spacing w:after="120"/>
        <w:rPr>
          <w:rFonts w:ascii="Arial" w:hAnsi="Arial" w:cs="Arial"/>
          <w:sz w:val="22"/>
          <w:szCs w:val="22"/>
        </w:rPr>
      </w:pPr>
      <w:r w:rsidRPr="000C37A1">
        <w:rPr>
          <w:rFonts w:ascii="Arial" w:hAnsi="Arial" w:cs="Arial"/>
          <w:i/>
          <w:sz w:val="22"/>
          <w:szCs w:val="22"/>
        </w:rPr>
        <w:t>Beispiel:</w:t>
      </w:r>
      <w:r w:rsidRPr="000C37A1">
        <w:rPr>
          <w:rFonts w:ascii="Arial" w:hAnsi="Arial" w:cs="Arial"/>
          <w:sz w:val="22"/>
          <w:szCs w:val="22"/>
        </w:rPr>
        <w:t xml:space="preserve"> Entwickle ähnliche Aufgaben mit</w:t>
      </w:r>
    </w:p>
    <w:p w:rsidR="000C37A1" w:rsidRDefault="000C37A1" w:rsidP="000C37A1">
      <w:pPr>
        <w:pStyle w:val="Listenabsatz"/>
        <w:numPr>
          <w:ilvl w:val="0"/>
          <w:numId w:val="4"/>
        </w:numPr>
        <w:spacing w:after="120"/>
        <w:rPr>
          <w:rFonts w:ascii="Arial" w:hAnsi="Arial" w:cs="Arial"/>
          <w:sz w:val="22"/>
          <w:szCs w:val="22"/>
        </w:rPr>
      </w:pPr>
      <w:r w:rsidRPr="000C37A1">
        <w:rPr>
          <w:rFonts w:ascii="Arial" w:hAnsi="Arial" w:cs="Arial"/>
          <w:sz w:val="22"/>
          <w:szCs w:val="22"/>
        </w:rPr>
        <w:t>Pflanzlöchern in Reihen eines Beetes</w:t>
      </w:r>
    </w:p>
    <w:p w:rsidR="000C37A1" w:rsidRDefault="000C37A1" w:rsidP="000C37A1">
      <w:pPr>
        <w:pStyle w:val="Listenabsatz"/>
        <w:numPr>
          <w:ilvl w:val="0"/>
          <w:numId w:val="4"/>
        </w:numPr>
        <w:spacing w:after="120"/>
        <w:rPr>
          <w:rFonts w:ascii="Arial" w:hAnsi="Arial" w:cs="Arial"/>
          <w:sz w:val="22"/>
          <w:szCs w:val="22"/>
        </w:rPr>
      </w:pPr>
      <w:r w:rsidRPr="000C37A1">
        <w:rPr>
          <w:rFonts w:ascii="Arial" w:hAnsi="Arial" w:cs="Arial"/>
          <w:sz w:val="22"/>
          <w:szCs w:val="22"/>
        </w:rPr>
        <w:t>in Reihen gepflanzten Bäumen einer Obstwiese</w:t>
      </w:r>
    </w:p>
    <w:p w:rsidR="000C37A1" w:rsidRDefault="000C37A1" w:rsidP="000C37A1">
      <w:pPr>
        <w:pStyle w:val="Listenabsatz"/>
        <w:numPr>
          <w:ilvl w:val="0"/>
          <w:numId w:val="4"/>
        </w:numPr>
        <w:spacing w:after="120"/>
        <w:rPr>
          <w:rFonts w:ascii="Arial" w:hAnsi="Arial" w:cs="Arial"/>
          <w:sz w:val="22"/>
          <w:szCs w:val="22"/>
        </w:rPr>
      </w:pPr>
      <w:r w:rsidRPr="000C37A1">
        <w:rPr>
          <w:rFonts w:ascii="Arial" w:hAnsi="Arial" w:cs="Arial"/>
          <w:sz w:val="22"/>
          <w:szCs w:val="22"/>
        </w:rPr>
        <w:t>aufgestellten Slalomstäben</w:t>
      </w:r>
    </w:p>
    <w:p w:rsidR="000C37A1" w:rsidRDefault="000C37A1" w:rsidP="000C37A1">
      <w:pPr>
        <w:pStyle w:val="Listenabsatz"/>
        <w:numPr>
          <w:ilvl w:val="0"/>
          <w:numId w:val="4"/>
        </w:numPr>
        <w:spacing w:after="120"/>
        <w:rPr>
          <w:rFonts w:ascii="Arial" w:hAnsi="Arial" w:cs="Arial"/>
          <w:sz w:val="22"/>
          <w:szCs w:val="22"/>
        </w:rPr>
      </w:pPr>
      <w:r w:rsidRPr="000C37A1">
        <w:rPr>
          <w:rFonts w:ascii="Arial" w:hAnsi="Arial" w:cs="Arial"/>
          <w:sz w:val="22"/>
          <w:szCs w:val="22"/>
        </w:rPr>
        <w:lastRenderedPageBreak/>
        <w:t>Zaunfeldern um einen quadratischen oder rechtwinkligen Garten</w:t>
      </w:r>
    </w:p>
    <w:p w:rsidR="000C37A1" w:rsidRPr="000C37A1" w:rsidRDefault="000C37A1" w:rsidP="000C37A1">
      <w:pPr>
        <w:spacing w:after="120"/>
        <w:rPr>
          <w:rFonts w:ascii="Arial" w:hAnsi="Arial" w:cs="Arial"/>
          <w:sz w:val="22"/>
          <w:szCs w:val="22"/>
        </w:rPr>
      </w:pPr>
      <w:r w:rsidRPr="000C37A1">
        <w:rPr>
          <w:rFonts w:ascii="Arial" w:hAnsi="Arial" w:cs="Arial"/>
          <w:sz w:val="22"/>
          <w:szCs w:val="22"/>
        </w:rPr>
        <w:t>Schließlich können unter Verwendung eigener Ideen weitere Aufgaben entstehen. Denkbar ist auch die Erweiterung des Zahlenraumes.</w:t>
      </w:r>
    </w:p>
    <w:p w:rsidR="00CA36B1" w:rsidRPr="000C37A1" w:rsidRDefault="000C37A1" w:rsidP="000C37A1">
      <w:pPr>
        <w:spacing w:after="120"/>
        <w:rPr>
          <w:rFonts w:ascii="Arial" w:hAnsi="Arial" w:cs="Arial"/>
          <w:sz w:val="22"/>
          <w:szCs w:val="22"/>
        </w:rPr>
      </w:pPr>
      <w:r w:rsidRPr="000C37A1">
        <w:rPr>
          <w:rFonts w:ascii="Arial" w:hAnsi="Arial" w:cs="Arial"/>
          <w:sz w:val="22"/>
          <w:szCs w:val="22"/>
        </w:rPr>
        <w:t>Bei Aufgaben dieser Art kann neben dem Modellieren auch das Kommunizieren und Argumentieren angebahnt werden. Mathematische Aussagen werden hinterfragt und auf Korrektheit geprüft. Gemeinsam wird über unterschiedliche Lösungswege reflektiert.</w:t>
      </w:r>
    </w:p>
    <w:sectPr w:rsidR="00CA36B1" w:rsidRPr="000C37A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7A1" w:rsidRDefault="000C37A1" w:rsidP="000C37A1">
      <w:r>
        <w:separator/>
      </w:r>
    </w:p>
  </w:endnote>
  <w:endnote w:type="continuationSeparator" w:id="0">
    <w:p w:rsidR="000C37A1" w:rsidRDefault="000C37A1" w:rsidP="000C3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7A1" w:rsidRDefault="000C37A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7A1" w:rsidRDefault="000C37A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7A1" w:rsidRDefault="000C37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7A1" w:rsidRDefault="000C37A1" w:rsidP="000C37A1">
      <w:r>
        <w:separator/>
      </w:r>
    </w:p>
  </w:footnote>
  <w:footnote w:type="continuationSeparator" w:id="0">
    <w:p w:rsidR="000C37A1" w:rsidRDefault="000C37A1" w:rsidP="000C3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7A1" w:rsidRDefault="000C37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7A1" w:rsidRDefault="000C37A1">
    <w:pPr>
      <w:pStyle w:val="Kopfzeile"/>
    </w:pPr>
    <w:r>
      <w:rPr>
        <w:noProof/>
      </w:rPr>
      <w:drawing>
        <wp:inline distT="0" distB="0" distL="0" distR="0" wp14:anchorId="5EDA81C2" wp14:editId="3CDD11F3">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7A1" w:rsidRDefault="000C37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63C05EA"/>
    <w:multiLevelType w:val="hybridMultilevel"/>
    <w:tmpl w:val="1E7489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A137F8"/>
    <w:multiLevelType w:val="hybridMultilevel"/>
    <w:tmpl w:val="AE185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C37A1"/>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8123D"/>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050A"/>
    <w:rsid w:val="00A95DDE"/>
    <w:rsid w:val="00AB17D0"/>
    <w:rsid w:val="00B8136A"/>
    <w:rsid w:val="00C2385F"/>
    <w:rsid w:val="00C7686A"/>
    <w:rsid w:val="00CA36B1"/>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90A8A1"/>
  <w15:docId w15:val="{3BA1FDF2-4F5E-4D03-83D0-2EDBFDBC3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0C37A1"/>
    <w:pPr>
      <w:tabs>
        <w:tab w:val="center" w:pos="4536"/>
        <w:tab w:val="right" w:pos="9072"/>
      </w:tabs>
    </w:pPr>
  </w:style>
  <w:style w:type="character" w:customStyle="1" w:styleId="KopfzeileZchn">
    <w:name w:val="Kopfzeile Zchn"/>
    <w:basedOn w:val="Absatz-Standardschriftart"/>
    <w:link w:val="Kopfzeile"/>
    <w:rsid w:val="000C37A1"/>
    <w:rPr>
      <w:sz w:val="24"/>
      <w:szCs w:val="24"/>
    </w:rPr>
  </w:style>
  <w:style w:type="paragraph" w:styleId="Fuzeile">
    <w:name w:val="footer"/>
    <w:basedOn w:val="Standard"/>
    <w:link w:val="FuzeileZchn"/>
    <w:unhideWhenUsed/>
    <w:rsid w:val="000C37A1"/>
    <w:pPr>
      <w:tabs>
        <w:tab w:val="center" w:pos="4536"/>
        <w:tab w:val="right" w:pos="9072"/>
      </w:tabs>
    </w:pPr>
  </w:style>
  <w:style w:type="character" w:customStyle="1" w:styleId="FuzeileZchn">
    <w:name w:val="Fußzeile Zchn"/>
    <w:basedOn w:val="Absatz-Standardschriftart"/>
    <w:link w:val="Fuzeile"/>
    <w:rsid w:val="000C37A1"/>
    <w:rPr>
      <w:sz w:val="24"/>
      <w:szCs w:val="24"/>
    </w:rPr>
  </w:style>
  <w:style w:type="paragraph" w:styleId="Listenabsatz">
    <w:name w:val="List Paragraph"/>
    <w:basedOn w:val="Standard"/>
    <w:uiPriority w:val="34"/>
    <w:qFormat/>
    <w:rsid w:val="000C3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2020-12-23T09:33:00Z</dcterms:created>
  <dcterms:modified xsi:type="dcterms:W3CDTF">2021-02-12T09:45:00Z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